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5F0A6741" w14:textId="77777777" w:rsidR="004073BC" w:rsidRDefault="00F72274" w:rsidP="00587EA6">
          <w:pPr>
            <w:pStyle w:val="Heading1"/>
          </w:pPr>
          <w:r>
            <w:rPr>
              <w:noProof/>
            </w:rPr>
            <w:drawing>
              <wp:anchor distT="0" distB="0" distL="114300" distR="114300" simplePos="0" relativeHeight="251658241" behindDoc="1" locked="0" layoutInCell="1" allowOverlap="1" wp14:anchorId="6513FAF7" wp14:editId="4A8FCE4A">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09E9D0B1" wp14:editId="69F7C7AD">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D28091F" w14:textId="77777777" w:rsidR="004073BC" w:rsidRDefault="004073BC" w:rsidP="008C1A73"/>
        <w:p w14:paraId="73F2C24D" w14:textId="77777777" w:rsidR="004073BC" w:rsidRDefault="004073BC" w:rsidP="008C1A73"/>
        <w:p w14:paraId="4314EE39" w14:textId="77777777" w:rsidR="004073BC" w:rsidRDefault="004073BC" w:rsidP="008C1A73"/>
        <w:p w14:paraId="1503CA11" w14:textId="77777777" w:rsidR="004073BC" w:rsidRDefault="004073BC" w:rsidP="008C1A73"/>
        <w:p w14:paraId="4D6B9AFB" w14:textId="77777777" w:rsidR="004073BC" w:rsidRDefault="004073BC" w:rsidP="008C1A73"/>
        <w:p w14:paraId="342580DA" w14:textId="77777777" w:rsidR="00281BB1" w:rsidRDefault="00281BB1" w:rsidP="00281BB1">
          <w:pPr>
            <w:rPr>
              <w:b/>
              <w:bCs/>
              <w:color w:val="FFFFFF" w:themeColor="background1"/>
              <w:sz w:val="84"/>
              <w:szCs w:val="84"/>
            </w:rPr>
          </w:pPr>
        </w:p>
        <w:p w14:paraId="1DCCF3BA" w14:textId="07FC3FBE"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61B42C96" wp14:editId="581F502E">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DF46AB4" w14:textId="25A3BA27" w:rsidR="00281BB1" w:rsidRPr="009A240D" w:rsidRDefault="00B74B9A" w:rsidP="00281BB1">
                                <w:pPr>
                                  <w:pStyle w:val="BodyText1"/>
                                  <w:rPr>
                                    <w:color w:val="FFFFFF" w:themeColor="background1"/>
                                  </w:rPr>
                                </w:pPr>
                                <w:r>
                                  <w:rPr>
                                    <w:color w:val="FFFFFF" w:themeColor="background1"/>
                                  </w:rPr>
                                  <w:t>D</w:t>
                                </w:r>
                                <w:r w:rsidR="00911A58">
                                  <w:rPr>
                                    <w:color w:val="FFFFFF" w:themeColor="background1"/>
                                  </w:rPr>
                                  <w:t>ecember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42C96"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3DF46AB4" w14:textId="25A3BA27" w:rsidR="00281BB1" w:rsidRPr="009A240D" w:rsidRDefault="00B74B9A" w:rsidP="00281BB1">
                          <w:pPr>
                            <w:pStyle w:val="BodyText1"/>
                            <w:rPr>
                              <w:color w:val="FFFFFF" w:themeColor="background1"/>
                            </w:rPr>
                          </w:pPr>
                          <w:r>
                            <w:rPr>
                              <w:color w:val="FFFFFF" w:themeColor="background1"/>
                            </w:rPr>
                            <w:t>D</w:t>
                          </w:r>
                          <w:r w:rsidR="00911A58">
                            <w:rPr>
                              <w:color w:val="FFFFFF" w:themeColor="background1"/>
                            </w:rPr>
                            <w:t>ecember 2024</w:t>
                          </w:r>
                        </w:p>
                      </w:txbxContent>
                    </v:textbox>
                    <w10:anchorlock/>
                  </v:shape>
                </w:pict>
              </mc:Fallback>
            </mc:AlternateContent>
          </w:r>
          <w:r w:rsidR="008C1A2B">
            <w:rPr>
              <w:b/>
              <w:bCs/>
              <w:color w:val="FFFFFF" w:themeColor="background1"/>
              <w:sz w:val="84"/>
              <w:szCs w:val="84"/>
            </w:rPr>
            <w:t>Guidance on the use of groundwater standards</w:t>
          </w:r>
        </w:p>
        <w:p w14:paraId="5AAEF9D0" w14:textId="77777777" w:rsidR="008C1A73" w:rsidRPr="00CF7EFB" w:rsidRDefault="008C1A73" w:rsidP="00CF7EFB">
          <w:pPr>
            <w:rPr>
              <w:b/>
              <w:bCs/>
              <w:color w:val="FFFFFF" w:themeColor="background1"/>
              <w:sz w:val="84"/>
              <w:szCs w:val="84"/>
            </w:rPr>
          </w:pPr>
          <w:r>
            <w:br w:type="page"/>
          </w:r>
        </w:p>
      </w:sdtContent>
    </w:sdt>
    <w:p w14:paraId="05B29933" w14:textId="741B6B8D" w:rsidR="00684F5A" w:rsidRDefault="008C1A2B" w:rsidP="004133B7">
      <w:pPr>
        <w:pStyle w:val="Heading1"/>
        <w:rPr>
          <w:rFonts w:eastAsia="Times New Roman"/>
        </w:rPr>
      </w:pPr>
      <w:r>
        <w:rPr>
          <w:rFonts w:eastAsia="Times New Roman"/>
        </w:rPr>
        <w:lastRenderedPageBreak/>
        <w:t>Background</w:t>
      </w:r>
    </w:p>
    <w:p w14:paraId="71CCCB76" w14:textId="4D434B07" w:rsidR="008C1A2B" w:rsidRPr="00F57DAF" w:rsidRDefault="008C1A2B" w:rsidP="008C1A2B">
      <w:pPr>
        <w:pStyle w:val="BodyText1"/>
      </w:pPr>
      <w:r w:rsidRPr="00F57DAF">
        <w:t xml:space="preserve">New groundwater standards have been set out in Directions published by the Scottish Government. </w:t>
      </w:r>
      <w:r w:rsidR="00186B2F">
        <w:t>The groundwater sta</w:t>
      </w:r>
      <w:r w:rsidR="005A361B">
        <w:t>n</w:t>
      </w:r>
      <w:r w:rsidR="00186B2F">
        <w:t xml:space="preserve">dards </w:t>
      </w:r>
      <w:r w:rsidR="00C47E3B">
        <w:t xml:space="preserve">and our associated update guidance </w:t>
      </w:r>
      <w:r w:rsidR="00186B2F">
        <w:t>come</w:t>
      </w:r>
      <w:r w:rsidR="00C47E3B">
        <w:t>s</w:t>
      </w:r>
      <w:r w:rsidR="00186B2F">
        <w:t xml:space="preserve"> into force on 1 February 2025. </w:t>
      </w:r>
      <w:r w:rsidR="00806FC4">
        <w:t>The d</w:t>
      </w:r>
      <w:r w:rsidR="00344DE8">
        <w:t>irections provide</w:t>
      </w:r>
      <w:r w:rsidRPr="00F57DAF">
        <w:t xml:space="preserve"> new standards to assess:</w:t>
      </w:r>
    </w:p>
    <w:p w14:paraId="58A66899" w14:textId="77777777" w:rsidR="008C1A2B" w:rsidRPr="00F57DAF" w:rsidRDefault="008C1A2B" w:rsidP="008C1A2B">
      <w:pPr>
        <w:pStyle w:val="BodyText1"/>
        <w:numPr>
          <w:ilvl w:val="0"/>
          <w:numId w:val="17"/>
        </w:numPr>
      </w:pPr>
      <w:r w:rsidRPr="00F57DAF">
        <w:t>The input of hazardous substances into groundwater</w:t>
      </w:r>
    </w:p>
    <w:p w14:paraId="0307A3CE" w14:textId="77777777" w:rsidR="008C1A2B" w:rsidRPr="00F57DAF" w:rsidRDefault="008C1A2B" w:rsidP="008C1A2B">
      <w:pPr>
        <w:pStyle w:val="BodyText1"/>
        <w:numPr>
          <w:ilvl w:val="0"/>
          <w:numId w:val="17"/>
        </w:numPr>
      </w:pPr>
      <w:r w:rsidRPr="00F57DAF">
        <w:t>Groundwater pollution</w:t>
      </w:r>
    </w:p>
    <w:p w14:paraId="5723D0BA" w14:textId="77777777" w:rsidR="008C1A2B" w:rsidRPr="00F57DAF" w:rsidRDefault="008C1A2B" w:rsidP="008C1A2B">
      <w:pPr>
        <w:pStyle w:val="BodyText1"/>
        <w:numPr>
          <w:ilvl w:val="0"/>
          <w:numId w:val="17"/>
        </w:numPr>
      </w:pPr>
      <w:r w:rsidRPr="00F57DAF">
        <w:t xml:space="preserve">The qualitative status of Scotland’s groundwater bodies. </w:t>
      </w:r>
    </w:p>
    <w:p w14:paraId="1478B6DE" w14:textId="77777777" w:rsidR="008C1A2B" w:rsidRDefault="008C1A2B" w:rsidP="008C1A2B">
      <w:pPr>
        <w:pStyle w:val="BodyText1"/>
        <w:rPr>
          <w:rFonts w:eastAsia="Arial" w:cs="Arial"/>
          <w:color w:val="3C4741" w:themeColor="text1"/>
        </w:rPr>
      </w:pPr>
      <w:r>
        <w:t xml:space="preserve">In addition, SEPA has issued revised </w:t>
      </w:r>
      <w:r w:rsidRPr="13647D9F">
        <w:rPr>
          <w:rFonts w:eastAsia="Arial" w:cs="Arial"/>
          <w:color w:val="3C4741" w:themeColor="text1"/>
        </w:rPr>
        <w:t>guidance</w:t>
      </w:r>
      <w:r>
        <w:rPr>
          <w:rFonts w:eastAsia="Arial" w:cs="Arial"/>
          <w:color w:val="3C4741" w:themeColor="text1"/>
        </w:rPr>
        <w:t>:</w:t>
      </w:r>
    </w:p>
    <w:p w14:paraId="760C2688" w14:textId="77777777" w:rsidR="008C1A2B" w:rsidRPr="002328FF" w:rsidRDefault="008C1A2B" w:rsidP="008C1A2B">
      <w:pPr>
        <w:pStyle w:val="BodyText1"/>
        <w:numPr>
          <w:ilvl w:val="0"/>
          <w:numId w:val="18"/>
        </w:numPr>
        <w:rPr>
          <w:rFonts w:eastAsia="Arial" w:cs="Arial"/>
          <w:color w:val="3C4741" w:themeColor="text1"/>
        </w:rPr>
      </w:pPr>
      <w:r w:rsidRPr="002328FF">
        <w:rPr>
          <w:rFonts w:eastAsia="Arial" w:cs="Arial"/>
          <w:color w:val="3C4741" w:themeColor="text1"/>
        </w:rPr>
        <w:t>WAT-PS-10 Assigning Groundwater Assessment Criteria for Pollutant Inputs</w:t>
      </w:r>
    </w:p>
    <w:p w14:paraId="4B2F1EF9" w14:textId="77777777" w:rsidR="008C1A2B" w:rsidRPr="002328FF" w:rsidRDefault="008C1A2B" w:rsidP="008C1A2B">
      <w:pPr>
        <w:pStyle w:val="BodyText1"/>
        <w:numPr>
          <w:ilvl w:val="0"/>
          <w:numId w:val="18"/>
        </w:numPr>
        <w:rPr>
          <w:rFonts w:eastAsia="Arial" w:cs="Arial"/>
          <w:color w:val="3C4741" w:themeColor="text1"/>
        </w:rPr>
      </w:pPr>
      <w:r w:rsidRPr="002328FF">
        <w:rPr>
          <w:rFonts w:eastAsia="Arial" w:cs="Arial"/>
          <w:color w:val="3C4741" w:themeColor="text1"/>
        </w:rPr>
        <w:t xml:space="preserve">Land Contamination and Impacts on the Water Environment </w:t>
      </w:r>
    </w:p>
    <w:p w14:paraId="69C42220" w14:textId="1F93F249" w:rsidR="008C1A2B" w:rsidRPr="00F57DAF" w:rsidRDefault="008C1A2B" w:rsidP="008C1A2B">
      <w:pPr>
        <w:pStyle w:val="BodyText1"/>
      </w:pPr>
      <w:r>
        <w:t xml:space="preserve">These documents </w:t>
      </w:r>
      <w:r w:rsidRPr="13647D9F">
        <w:rPr>
          <w:rFonts w:eastAsia="Arial" w:cs="Arial"/>
          <w:color w:val="3C4741" w:themeColor="text1"/>
        </w:rPr>
        <w:t xml:space="preserve">refine the approach </w:t>
      </w:r>
      <w:r>
        <w:rPr>
          <w:rFonts w:eastAsia="Arial" w:cs="Arial"/>
          <w:color w:val="3C4741" w:themeColor="text1"/>
        </w:rPr>
        <w:t xml:space="preserve">that should be </w:t>
      </w:r>
      <w:r w:rsidRPr="13647D9F">
        <w:rPr>
          <w:rFonts w:eastAsia="Arial" w:cs="Arial"/>
          <w:color w:val="3C4741" w:themeColor="text1"/>
        </w:rPr>
        <w:t xml:space="preserve">taken </w:t>
      </w:r>
      <w:r>
        <w:rPr>
          <w:rFonts w:eastAsia="Arial" w:cs="Arial"/>
          <w:color w:val="3C4741" w:themeColor="text1"/>
        </w:rPr>
        <w:t>in</w:t>
      </w:r>
      <w:r w:rsidRPr="13647D9F">
        <w:rPr>
          <w:rFonts w:eastAsia="Arial" w:cs="Arial"/>
          <w:color w:val="3C4741" w:themeColor="text1"/>
        </w:rPr>
        <w:t xml:space="preserve"> </w:t>
      </w:r>
      <w:r>
        <w:rPr>
          <w:rFonts w:eastAsia="Arial" w:cs="Arial"/>
          <w:color w:val="3C4741" w:themeColor="text1"/>
        </w:rPr>
        <w:t xml:space="preserve">relation to </w:t>
      </w:r>
      <w:r w:rsidR="005A098C">
        <w:rPr>
          <w:rFonts w:eastAsia="Arial" w:cs="Arial"/>
          <w:color w:val="3C4741" w:themeColor="text1"/>
        </w:rPr>
        <w:t>assessing the inputs of pollutants into groundwater</w:t>
      </w:r>
      <w:r w:rsidR="00773676">
        <w:rPr>
          <w:rFonts w:eastAsia="Arial" w:cs="Arial"/>
          <w:color w:val="3C4741" w:themeColor="text1"/>
        </w:rPr>
        <w:t>,</w:t>
      </w:r>
      <w:r w:rsidR="00170210">
        <w:rPr>
          <w:rFonts w:eastAsia="Arial" w:cs="Arial"/>
          <w:color w:val="3C4741" w:themeColor="text1"/>
        </w:rPr>
        <w:t xml:space="preserve"> and</w:t>
      </w:r>
      <w:r w:rsidR="005A098C" w:rsidRPr="13647D9F">
        <w:rPr>
          <w:rFonts w:eastAsia="Arial" w:cs="Arial"/>
          <w:color w:val="3C4741" w:themeColor="text1"/>
        </w:rPr>
        <w:t xml:space="preserve"> </w:t>
      </w:r>
      <w:r w:rsidR="00773676">
        <w:rPr>
          <w:rFonts w:eastAsia="Arial" w:cs="Arial"/>
          <w:color w:val="3C4741" w:themeColor="text1"/>
        </w:rPr>
        <w:t xml:space="preserve">in relation to </w:t>
      </w:r>
      <w:r w:rsidR="00A15B92" w:rsidRPr="13647D9F">
        <w:rPr>
          <w:rFonts w:eastAsia="Arial" w:cs="Arial"/>
          <w:color w:val="3C4741" w:themeColor="text1"/>
        </w:rPr>
        <w:t>water environment</w:t>
      </w:r>
      <w:r w:rsidR="00A15B92">
        <w:rPr>
          <w:rFonts w:eastAsia="Arial" w:cs="Arial"/>
          <w:color w:val="3C4741" w:themeColor="text1"/>
        </w:rPr>
        <w:t xml:space="preserve"> </w:t>
      </w:r>
      <w:r w:rsidR="006B1B86">
        <w:rPr>
          <w:rFonts w:eastAsia="Arial" w:cs="Arial"/>
          <w:color w:val="3C4741" w:themeColor="text1"/>
        </w:rPr>
        <w:t>impacts</w:t>
      </w:r>
      <w:r w:rsidR="00A15B92">
        <w:rPr>
          <w:rFonts w:eastAsia="Arial" w:cs="Arial"/>
          <w:color w:val="3C4741" w:themeColor="text1"/>
        </w:rPr>
        <w:t xml:space="preserve"> in relation to historical </w:t>
      </w:r>
      <w:r w:rsidRPr="13647D9F">
        <w:rPr>
          <w:rFonts w:eastAsia="Arial" w:cs="Arial"/>
          <w:color w:val="3C4741" w:themeColor="text1"/>
        </w:rPr>
        <w:t xml:space="preserve">land contamination </w:t>
      </w:r>
      <w:r>
        <w:rPr>
          <w:rFonts w:eastAsia="Arial" w:cs="Arial"/>
          <w:color w:val="3C4741" w:themeColor="text1"/>
        </w:rPr>
        <w:t>and. This is to</w:t>
      </w:r>
      <w:r>
        <w:t xml:space="preserve"> align with the new standards set out in Directions and the change in approach to land contamination.   </w:t>
      </w:r>
    </w:p>
    <w:p w14:paraId="245E2681" w14:textId="77777777" w:rsidR="008C1A2B" w:rsidRDefault="008C1A2B" w:rsidP="008C1A2B">
      <w:pPr>
        <w:pStyle w:val="BodyText1"/>
      </w:pPr>
      <w:r w:rsidRPr="00F57DAF">
        <w:t>This policy sets out</w:t>
      </w:r>
      <w:r>
        <w:t>:</w:t>
      </w:r>
    </w:p>
    <w:p w14:paraId="4AF7E686" w14:textId="77777777" w:rsidR="008C1A2B" w:rsidRPr="00E96B6D" w:rsidRDefault="008C1A2B" w:rsidP="008C1A2B">
      <w:pPr>
        <w:pStyle w:val="BodyText1"/>
        <w:numPr>
          <w:ilvl w:val="0"/>
          <w:numId w:val="19"/>
        </w:numPr>
      </w:pPr>
      <w:r w:rsidRPr="00E96B6D">
        <w:t xml:space="preserve">how SEPA will apply the standards and the new approach; and </w:t>
      </w:r>
    </w:p>
    <w:p w14:paraId="23537D58" w14:textId="77777777" w:rsidR="008C1A2B" w:rsidRPr="00E96B6D" w:rsidRDefault="008C1A2B" w:rsidP="008C1A2B">
      <w:pPr>
        <w:pStyle w:val="BodyText1"/>
        <w:numPr>
          <w:ilvl w:val="0"/>
          <w:numId w:val="19"/>
        </w:numPr>
      </w:pPr>
      <w:r w:rsidRPr="00E96B6D">
        <w:t xml:space="preserve">our expectations for their use by local authorities and industry. </w:t>
      </w:r>
    </w:p>
    <w:p w14:paraId="68CF3FBB" w14:textId="2DB661BB" w:rsidR="008C1A2B" w:rsidRDefault="008C1A2B" w:rsidP="008C1A2B">
      <w:pPr>
        <w:pStyle w:val="Heading1"/>
      </w:pPr>
      <w:r>
        <w:t>Policy approach</w:t>
      </w:r>
    </w:p>
    <w:p w14:paraId="72517095" w14:textId="01ACBB8F" w:rsidR="008C1A2B" w:rsidRDefault="008C1A2B" w:rsidP="008C1A2B">
      <w:pPr>
        <w:pStyle w:val="Heading2"/>
      </w:pPr>
      <w:r>
        <w:t>Sites that are currently being assessed or are about to be assessed</w:t>
      </w:r>
    </w:p>
    <w:p w14:paraId="50FA0B3E" w14:textId="2065E333" w:rsidR="008C1A2B" w:rsidRPr="00564F12" w:rsidRDefault="008C1A2B" w:rsidP="00C207CB">
      <w:pPr>
        <w:pStyle w:val="BodyText1"/>
      </w:pPr>
      <w:r w:rsidRPr="00564F12">
        <w:t xml:space="preserve">We understand that risk assessments for activities impacting on groundwater may have just been completed or are in progress using the previous standards and methodology. To take account of this, risk assessments undertaken using old or new standards and methodology will be accepted until 1 </w:t>
      </w:r>
      <w:r w:rsidR="79DF0C1A" w:rsidRPr="00564F12">
        <w:t>Ju</w:t>
      </w:r>
      <w:r w:rsidR="41791094" w:rsidRPr="00564F12">
        <w:t xml:space="preserve">ly </w:t>
      </w:r>
      <w:r w:rsidRPr="00564F12">
        <w:t xml:space="preserve">2025. </w:t>
      </w:r>
    </w:p>
    <w:p w14:paraId="0AFB57CE" w14:textId="77777777" w:rsidR="008C1A2B" w:rsidRDefault="008C1A2B" w:rsidP="008C1A2B">
      <w:pPr>
        <w:pStyle w:val="Heading1"/>
      </w:pPr>
      <w:r>
        <w:lastRenderedPageBreak/>
        <w:t>Sites that are currently being assessed or are about to be assessed</w:t>
      </w:r>
    </w:p>
    <w:p w14:paraId="68CF33EC" w14:textId="77777777" w:rsidR="008C1A2B" w:rsidRDefault="008C1A2B" w:rsidP="008C1A2B">
      <w:pPr>
        <w:pStyle w:val="BodyText1"/>
      </w:pPr>
      <w:r w:rsidRPr="001A32B7">
        <w:t xml:space="preserve">Many regulated sites or areas of land contamination will have been assessed, remediated and have conditions in place with regards to the old groundwater </w:t>
      </w:r>
      <w:r>
        <w:t>standards and methodology</w:t>
      </w:r>
      <w:r w:rsidRPr="001A32B7">
        <w:t xml:space="preserve">. </w:t>
      </w:r>
    </w:p>
    <w:p w14:paraId="7007E6BB" w14:textId="77777777" w:rsidR="008C1A2B" w:rsidRPr="001A32B7" w:rsidRDefault="008C1A2B" w:rsidP="008C1A2B">
      <w:pPr>
        <w:pStyle w:val="BodyText1"/>
      </w:pPr>
      <w:r>
        <w:t xml:space="preserve">We will only require these sites to be assessed against the new standards and methodology when a technical change is being made that requires a revised risk assessment to be submitted. For example, an authorised site is being extended or an area of land contamination is being re-developed. </w:t>
      </w:r>
    </w:p>
    <w:p w14:paraId="7A2B99C1" w14:textId="77777777" w:rsidR="008C1A2B" w:rsidRDefault="008C1A2B" w:rsidP="008C1A2B">
      <w:pPr>
        <w:pStyle w:val="BodyText1"/>
      </w:pPr>
      <w:r>
        <w:t>R</w:t>
      </w:r>
      <w:r w:rsidRPr="001A32B7">
        <w:t xml:space="preserve">isk assessment and mitigation for </w:t>
      </w:r>
      <w:r>
        <w:t xml:space="preserve">these </w:t>
      </w:r>
      <w:r w:rsidRPr="001A32B7">
        <w:t>sites will take account of what is practical</w:t>
      </w:r>
      <w:r>
        <w:t>,</w:t>
      </w:r>
      <w:r w:rsidRPr="001A32B7">
        <w:t xml:space="preserve"> reasonable</w:t>
      </w:r>
      <w:r>
        <w:t xml:space="preserve"> and best for the environment as a whole</w:t>
      </w:r>
      <w:r w:rsidRPr="001A32B7">
        <w:t>.  </w:t>
      </w:r>
    </w:p>
    <w:p w14:paraId="75B66AD6" w14:textId="77777777" w:rsidR="008C1A2B" w:rsidRPr="001A32B7" w:rsidRDefault="008C1A2B" w:rsidP="008C1A2B">
      <w:pPr>
        <w:pStyle w:val="BodyText1"/>
      </w:pPr>
      <w:r w:rsidRPr="001A32B7">
        <w:t>In some cases, large</w:t>
      </w:r>
      <w:r>
        <w:t>-</w:t>
      </w:r>
      <w:r w:rsidRPr="001A32B7">
        <w:t xml:space="preserve">scale remediation plans have been agreed for many neighbouring sites over a number of years. Any prior agreements can be </w:t>
      </w:r>
      <w:proofErr w:type="gramStart"/>
      <w:r w:rsidRPr="001A32B7">
        <w:t>taken into account</w:t>
      </w:r>
      <w:proofErr w:type="gramEnd"/>
      <w:r w:rsidRPr="001A32B7">
        <w:t xml:space="preserve"> when deciding on whether additional </w:t>
      </w:r>
      <w:r>
        <w:t xml:space="preserve">or revised </w:t>
      </w:r>
      <w:r w:rsidRPr="001A32B7">
        <w:t>assessment is required.</w:t>
      </w:r>
    </w:p>
    <w:p w14:paraId="722D78F8" w14:textId="77777777" w:rsidR="008C1A2B" w:rsidRPr="001A32B7" w:rsidRDefault="008C1A2B" w:rsidP="008C1A2B">
      <w:pPr>
        <w:pStyle w:val="BodyText1"/>
      </w:pPr>
      <w:r>
        <w:t xml:space="preserve">For sites wishing to surrender their licence or permit under The Environmental Protection Act 1990 or The Pollution Prevention and Control (Scotland) Regulations we understand that the new standards may make it harder for existing sites to meet the surrender criteria. For sites applying for surrender we may </w:t>
      </w:r>
      <w:proofErr w:type="gramStart"/>
      <w:r>
        <w:t>take into account</w:t>
      </w:r>
      <w:proofErr w:type="gramEnd"/>
      <w:r>
        <w:t xml:space="preserve"> whether:</w:t>
      </w:r>
    </w:p>
    <w:p w14:paraId="5586AB38" w14:textId="77777777" w:rsidR="008C1A2B" w:rsidRPr="00754C5E" w:rsidRDefault="008C1A2B" w:rsidP="008C1A2B">
      <w:pPr>
        <w:pStyle w:val="BodyText1"/>
        <w:numPr>
          <w:ilvl w:val="0"/>
          <w:numId w:val="21"/>
        </w:numPr>
      </w:pPr>
      <w:r w:rsidRPr="00754C5E">
        <w:t>Ongoing management of the site is no longer required.</w:t>
      </w:r>
    </w:p>
    <w:p w14:paraId="2A635731" w14:textId="60BD7F38" w:rsidR="008C1A2B" w:rsidRDefault="008C1A2B" w:rsidP="008C1A2B">
      <w:pPr>
        <w:pStyle w:val="BodyText1"/>
        <w:numPr>
          <w:ilvl w:val="0"/>
          <w:numId w:val="21"/>
        </w:numPr>
      </w:pPr>
      <w:r w:rsidRPr="00754C5E">
        <w:t xml:space="preserve">Reasonable action has been taken to </w:t>
      </w:r>
      <w:r>
        <w:t>address</w:t>
      </w:r>
      <w:r w:rsidRPr="00754C5E">
        <w:t xml:space="preserve"> any inputs of pollutants into groundwater</w:t>
      </w:r>
      <w:r w:rsidR="00572CAA">
        <w:t>.</w:t>
      </w:r>
      <w:r w:rsidRPr="00754C5E">
        <w:t xml:space="preserve">  </w:t>
      </w:r>
    </w:p>
    <w:p w14:paraId="4014B018" w14:textId="764E6BCF" w:rsidR="008C1A2B" w:rsidRPr="00754C5E" w:rsidRDefault="008C1A2B" w:rsidP="008C1A2B">
      <w:pPr>
        <w:pStyle w:val="BodyText1"/>
        <w:numPr>
          <w:ilvl w:val="0"/>
          <w:numId w:val="21"/>
        </w:numPr>
      </w:pPr>
      <w:r>
        <w:t>T</w:t>
      </w:r>
      <w:r w:rsidRPr="00754C5E">
        <w:t>he groundwater quality is now improving over time</w:t>
      </w:r>
      <w:r w:rsidR="002344D3">
        <w:t>.</w:t>
      </w:r>
    </w:p>
    <w:p w14:paraId="74B45285" w14:textId="77777777" w:rsidR="008C1A2B" w:rsidRPr="00E7426C" w:rsidRDefault="008C1A2B" w:rsidP="008C1A2B">
      <w:pPr>
        <w:pStyle w:val="BodyText1"/>
        <w:numPr>
          <w:ilvl w:val="0"/>
          <w:numId w:val="21"/>
        </w:numPr>
      </w:pPr>
      <w:r w:rsidRPr="00754C5E">
        <w:t xml:space="preserve">The site is </w:t>
      </w:r>
      <w:r>
        <w:t>not causing the exceedance of an environment standard for a surface water, wetland</w:t>
      </w:r>
      <w:r w:rsidRPr="00754C5E">
        <w:t xml:space="preserve"> or other current </w:t>
      </w:r>
      <w:r>
        <w:t>abstraction, and does not pose a risk to groundwater body status</w:t>
      </w:r>
      <w:r w:rsidRPr="00754C5E">
        <w:t xml:space="preserve">.  </w:t>
      </w:r>
    </w:p>
    <w:p w14:paraId="7BC361A2" w14:textId="2F173213" w:rsidR="00684F5A" w:rsidRPr="00684F5A" w:rsidRDefault="00684F5A" w:rsidP="008C1A2B">
      <w:pPr>
        <w:pStyle w:val="Heading2"/>
        <w:rPr>
          <w:rFonts w:eastAsia="Times New Roman"/>
        </w:rPr>
      </w:pPr>
    </w:p>
    <w:p w14:paraId="4A2DAF0E" w14:textId="77777777" w:rsidR="00717241" w:rsidRDefault="00717241" w:rsidP="007777DA">
      <w:pPr>
        <w:pStyle w:val="BodyText1"/>
        <w:rPr>
          <w:rFonts w:eastAsia="Times New Roman"/>
          <w:sz w:val="32"/>
          <w:szCs w:val="32"/>
        </w:rPr>
      </w:pPr>
    </w:p>
    <w:p w14:paraId="2F5C9520" w14:textId="77777777" w:rsidR="00717241" w:rsidRDefault="00717241" w:rsidP="007777DA">
      <w:pPr>
        <w:pStyle w:val="BodyText1"/>
        <w:rPr>
          <w:rFonts w:eastAsia="Times New Roman"/>
          <w:sz w:val="32"/>
          <w:szCs w:val="32"/>
        </w:rPr>
      </w:pPr>
    </w:p>
    <w:p w14:paraId="43363AB9" w14:textId="77777777" w:rsidR="00717241" w:rsidRDefault="00717241" w:rsidP="007777DA">
      <w:pPr>
        <w:pStyle w:val="BodyText1"/>
        <w:rPr>
          <w:rFonts w:eastAsia="Times New Roman"/>
          <w:sz w:val="32"/>
          <w:szCs w:val="32"/>
        </w:rPr>
      </w:pPr>
    </w:p>
    <w:p w14:paraId="11FDFACE" w14:textId="77777777" w:rsidR="00717241" w:rsidRDefault="00717241" w:rsidP="007777DA">
      <w:pPr>
        <w:pStyle w:val="BodyText1"/>
        <w:rPr>
          <w:rFonts w:eastAsia="Times New Roman"/>
          <w:sz w:val="32"/>
          <w:szCs w:val="32"/>
        </w:rPr>
      </w:pPr>
    </w:p>
    <w:p w14:paraId="18385263" w14:textId="77777777" w:rsidR="00717241" w:rsidRDefault="00717241" w:rsidP="007777DA">
      <w:pPr>
        <w:pStyle w:val="BodyText1"/>
        <w:rPr>
          <w:rFonts w:eastAsia="Times New Roman"/>
          <w:sz w:val="32"/>
          <w:szCs w:val="32"/>
        </w:rPr>
      </w:pPr>
    </w:p>
    <w:p w14:paraId="5122C8A1" w14:textId="77777777" w:rsidR="00717241" w:rsidRDefault="00717241" w:rsidP="007777DA">
      <w:pPr>
        <w:pStyle w:val="BodyText1"/>
        <w:rPr>
          <w:rFonts w:eastAsia="Times New Roman"/>
          <w:sz w:val="32"/>
          <w:szCs w:val="32"/>
        </w:rPr>
      </w:pPr>
    </w:p>
    <w:p w14:paraId="0D1CF364" w14:textId="77777777" w:rsidR="00717241" w:rsidRDefault="00717241" w:rsidP="007777DA">
      <w:pPr>
        <w:pStyle w:val="BodyText1"/>
        <w:rPr>
          <w:rFonts w:eastAsia="Times New Roman"/>
          <w:sz w:val="32"/>
          <w:szCs w:val="32"/>
        </w:rPr>
      </w:pPr>
    </w:p>
    <w:p w14:paraId="09EB5C47" w14:textId="77777777" w:rsidR="00717241" w:rsidRDefault="00717241" w:rsidP="007777DA">
      <w:pPr>
        <w:pStyle w:val="BodyText1"/>
        <w:rPr>
          <w:rFonts w:eastAsia="Times New Roman"/>
          <w:sz w:val="32"/>
          <w:szCs w:val="32"/>
        </w:rPr>
      </w:pPr>
    </w:p>
    <w:p w14:paraId="194A2A37" w14:textId="22C78BDE" w:rsidR="00717241" w:rsidRDefault="00717241" w:rsidP="007777DA">
      <w:pPr>
        <w:pStyle w:val="BodyText1"/>
        <w:rPr>
          <w:rFonts w:eastAsia="Times New Roman"/>
          <w:sz w:val="32"/>
          <w:szCs w:val="32"/>
        </w:rPr>
      </w:pPr>
    </w:p>
    <w:p w14:paraId="02553C77" w14:textId="77777777" w:rsidR="00717241" w:rsidRDefault="00717241" w:rsidP="007777DA">
      <w:pPr>
        <w:pStyle w:val="BodyText1"/>
        <w:rPr>
          <w:rFonts w:eastAsia="Times New Roman"/>
          <w:sz w:val="32"/>
          <w:szCs w:val="32"/>
        </w:rPr>
      </w:pPr>
    </w:p>
    <w:p w14:paraId="04F7C64D" w14:textId="77777777" w:rsidR="00717241" w:rsidRDefault="00717241" w:rsidP="007777DA">
      <w:pPr>
        <w:pStyle w:val="BodyText1"/>
        <w:rPr>
          <w:rFonts w:eastAsia="Times New Roman"/>
          <w:sz w:val="32"/>
          <w:szCs w:val="32"/>
        </w:rPr>
      </w:pPr>
    </w:p>
    <w:p w14:paraId="19CF6B29" w14:textId="77777777" w:rsidR="00717241" w:rsidRDefault="00717241" w:rsidP="007777DA">
      <w:pPr>
        <w:pStyle w:val="BodyText1"/>
        <w:rPr>
          <w:rFonts w:eastAsia="Times New Roman"/>
          <w:sz w:val="32"/>
          <w:szCs w:val="32"/>
        </w:rPr>
      </w:pPr>
    </w:p>
    <w:p w14:paraId="775F0EDF" w14:textId="77777777" w:rsidR="00717241" w:rsidRDefault="00717241" w:rsidP="007777DA">
      <w:pPr>
        <w:pStyle w:val="BodyText1"/>
        <w:rPr>
          <w:rFonts w:eastAsia="Times New Roman"/>
          <w:sz w:val="32"/>
          <w:szCs w:val="32"/>
        </w:rPr>
      </w:pPr>
    </w:p>
    <w:p w14:paraId="118572D3" w14:textId="454EB413" w:rsidR="00E326A4" w:rsidRPr="007777DA" w:rsidRDefault="00E326A4" w:rsidP="007777DA">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4792C81E" w14:textId="77777777" w:rsidR="006243FF" w:rsidRPr="00E67C75" w:rsidRDefault="006243FF" w:rsidP="64367E61">
      <w:pPr>
        <w:pStyle w:val="BodyText1"/>
        <w:rPr>
          <w:color w:val="6E7571" w:themeColor="text2"/>
          <w:sz w:val="32"/>
          <w:szCs w:val="32"/>
          <w:u w:val="single"/>
        </w:rPr>
      </w:pPr>
    </w:p>
    <w:sectPr w:rsidR="006243FF" w:rsidRPr="00E67C75" w:rsidSect="006A6137">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E541C" w14:textId="77777777" w:rsidR="00154F81" w:rsidRDefault="00154F81" w:rsidP="00660C79">
      <w:pPr>
        <w:spacing w:line="240" w:lineRule="auto"/>
      </w:pPr>
      <w:r>
        <w:separator/>
      </w:r>
    </w:p>
  </w:endnote>
  <w:endnote w:type="continuationSeparator" w:id="0">
    <w:p w14:paraId="05446D73" w14:textId="77777777" w:rsidR="00154F81" w:rsidRDefault="00154F81" w:rsidP="00660C79">
      <w:pPr>
        <w:spacing w:line="240" w:lineRule="auto"/>
      </w:pPr>
      <w:r>
        <w:continuationSeparator/>
      </w:r>
    </w:p>
  </w:endnote>
  <w:endnote w:type="continuationNotice" w:id="1">
    <w:p w14:paraId="6291610A" w14:textId="77777777" w:rsidR="00154F81" w:rsidRDefault="00154F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698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6937F48" wp14:editId="0386AD86">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E9AD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937F4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0E9AD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6799558"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16300C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21816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007E5"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60BBA247" wp14:editId="194D6B44">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69C81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BBA247"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B69C81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1B6B94B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A18D1A4" wp14:editId="352F546D">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F9C6DD"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933FC2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5C4FD0" w14:textId="77777777" w:rsidR="00917BB1" w:rsidRDefault="00917BB1" w:rsidP="00917BB1">
    <w:pPr>
      <w:pStyle w:val="Footer"/>
      <w:ind w:right="360"/>
    </w:pPr>
    <w:r>
      <w:rPr>
        <w:noProof/>
      </w:rPr>
      <w:drawing>
        <wp:inline distT="0" distB="0" distL="0" distR="0" wp14:anchorId="73C696E3" wp14:editId="249772A2">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44A4B"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4EA4BF70" wp14:editId="2151108B">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38718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4BF70"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738718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E270D" w14:textId="77777777" w:rsidR="00154F81" w:rsidRDefault="00154F81" w:rsidP="00660C79">
      <w:pPr>
        <w:spacing w:line="240" w:lineRule="auto"/>
      </w:pPr>
      <w:r>
        <w:separator/>
      </w:r>
    </w:p>
  </w:footnote>
  <w:footnote w:type="continuationSeparator" w:id="0">
    <w:p w14:paraId="2E13ED24" w14:textId="77777777" w:rsidR="00154F81" w:rsidRDefault="00154F81" w:rsidP="00660C79">
      <w:pPr>
        <w:spacing w:line="240" w:lineRule="auto"/>
      </w:pPr>
      <w:r>
        <w:continuationSeparator/>
      </w:r>
    </w:p>
  </w:footnote>
  <w:footnote w:type="continuationNotice" w:id="1">
    <w:p w14:paraId="5D211E5A" w14:textId="77777777" w:rsidR="00154F81" w:rsidRDefault="00154F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0ADE"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51108706" wp14:editId="0218D477">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F01A9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108706"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F01A9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D4AF6" w14:textId="000AFD84"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D9B8032" wp14:editId="2191C307">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1D01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9B8032"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AC1D01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326B7A">
      <w:rPr>
        <w:color w:val="6E7571" w:themeColor="text2"/>
      </w:rPr>
      <w:t>Guidance on the use of groundwater standards</w:t>
    </w:r>
  </w:p>
  <w:p w14:paraId="07216B47"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FF3AB3F" wp14:editId="71FD899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FFC5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C406"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6115878B" wp14:editId="11FDBF6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7BB89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15878B"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87BB89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61AE2"/>
    <w:multiLevelType w:val="hybridMultilevel"/>
    <w:tmpl w:val="059E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62D22"/>
    <w:multiLevelType w:val="hybridMultilevel"/>
    <w:tmpl w:val="559C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74FEF"/>
    <w:multiLevelType w:val="hybridMultilevel"/>
    <w:tmpl w:val="805A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50850"/>
    <w:multiLevelType w:val="hybridMultilevel"/>
    <w:tmpl w:val="2E9CA724"/>
    <w:lvl w:ilvl="0" w:tplc="08090001">
      <w:start w:val="1"/>
      <w:numFmt w:val="bullet"/>
      <w:lvlText w:val=""/>
      <w:lvlJc w:val="left"/>
      <w:pPr>
        <w:ind w:left="1639" w:hanging="360"/>
      </w:pPr>
      <w:rPr>
        <w:rFonts w:ascii="Symbol" w:hAnsi="Symbol" w:hint="default"/>
      </w:rPr>
    </w:lvl>
    <w:lvl w:ilvl="1" w:tplc="08090003" w:tentative="1">
      <w:start w:val="1"/>
      <w:numFmt w:val="bullet"/>
      <w:lvlText w:val="o"/>
      <w:lvlJc w:val="left"/>
      <w:pPr>
        <w:ind w:left="2359" w:hanging="360"/>
      </w:pPr>
      <w:rPr>
        <w:rFonts w:ascii="Courier New" w:hAnsi="Courier New" w:cs="Courier New" w:hint="default"/>
      </w:rPr>
    </w:lvl>
    <w:lvl w:ilvl="2" w:tplc="08090005" w:tentative="1">
      <w:start w:val="1"/>
      <w:numFmt w:val="bullet"/>
      <w:lvlText w:val=""/>
      <w:lvlJc w:val="left"/>
      <w:pPr>
        <w:ind w:left="3079" w:hanging="360"/>
      </w:pPr>
      <w:rPr>
        <w:rFonts w:ascii="Wingdings" w:hAnsi="Wingdings" w:hint="default"/>
      </w:rPr>
    </w:lvl>
    <w:lvl w:ilvl="3" w:tplc="08090001" w:tentative="1">
      <w:start w:val="1"/>
      <w:numFmt w:val="bullet"/>
      <w:lvlText w:val=""/>
      <w:lvlJc w:val="left"/>
      <w:pPr>
        <w:ind w:left="3799" w:hanging="360"/>
      </w:pPr>
      <w:rPr>
        <w:rFonts w:ascii="Symbol" w:hAnsi="Symbol" w:hint="default"/>
      </w:rPr>
    </w:lvl>
    <w:lvl w:ilvl="4" w:tplc="08090003" w:tentative="1">
      <w:start w:val="1"/>
      <w:numFmt w:val="bullet"/>
      <w:lvlText w:val="o"/>
      <w:lvlJc w:val="left"/>
      <w:pPr>
        <w:ind w:left="4519" w:hanging="360"/>
      </w:pPr>
      <w:rPr>
        <w:rFonts w:ascii="Courier New" w:hAnsi="Courier New" w:cs="Courier New" w:hint="default"/>
      </w:rPr>
    </w:lvl>
    <w:lvl w:ilvl="5" w:tplc="08090005" w:tentative="1">
      <w:start w:val="1"/>
      <w:numFmt w:val="bullet"/>
      <w:lvlText w:val=""/>
      <w:lvlJc w:val="left"/>
      <w:pPr>
        <w:ind w:left="5239" w:hanging="360"/>
      </w:pPr>
      <w:rPr>
        <w:rFonts w:ascii="Wingdings" w:hAnsi="Wingdings" w:hint="default"/>
      </w:rPr>
    </w:lvl>
    <w:lvl w:ilvl="6" w:tplc="08090001" w:tentative="1">
      <w:start w:val="1"/>
      <w:numFmt w:val="bullet"/>
      <w:lvlText w:val=""/>
      <w:lvlJc w:val="left"/>
      <w:pPr>
        <w:ind w:left="5959" w:hanging="360"/>
      </w:pPr>
      <w:rPr>
        <w:rFonts w:ascii="Symbol" w:hAnsi="Symbol" w:hint="default"/>
      </w:rPr>
    </w:lvl>
    <w:lvl w:ilvl="7" w:tplc="08090003" w:tentative="1">
      <w:start w:val="1"/>
      <w:numFmt w:val="bullet"/>
      <w:lvlText w:val="o"/>
      <w:lvlJc w:val="left"/>
      <w:pPr>
        <w:ind w:left="6679" w:hanging="360"/>
      </w:pPr>
      <w:rPr>
        <w:rFonts w:ascii="Courier New" w:hAnsi="Courier New" w:cs="Courier New" w:hint="default"/>
      </w:rPr>
    </w:lvl>
    <w:lvl w:ilvl="8" w:tplc="08090005" w:tentative="1">
      <w:start w:val="1"/>
      <w:numFmt w:val="bullet"/>
      <w:lvlText w:val=""/>
      <w:lvlJc w:val="left"/>
      <w:pPr>
        <w:ind w:left="7399" w:hanging="360"/>
      </w:pPr>
      <w:rPr>
        <w:rFonts w:ascii="Wingdings" w:hAnsi="Wingdings" w:hint="default"/>
      </w:rPr>
    </w:lvl>
  </w:abstractNum>
  <w:abstractNum w:abstractNumId="15" w15:restartNumberingAfterBreak="0">
    <w:nsid w:val="5EFD6954"/>
    <w:multiLevelType w:val="hybridMultilevel"/>
    <w:tmpl w:val="2166B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551958"/>
    <w:multiLevelType w:val="hybridMultilevel"/>
    <w:tmpl w:val="E376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72E9D"/>
    <w:multiLevelType w:val="hybridMultilevel"/>
    <w:tmpl w:val="E36C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7C6E0D"/>
    <w:multiLevelType w:val="hybridMultilevel"/>
    <w:tmpl w:val="52EC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18"/>
  </w:num>
  <w:num w:numId="12" w16cid:durableId="791052000">
    <w:abstractNumId w:val="11"/>
  </w:num>
  <w:num w:numId="13" w16cid:durableId="593785568">
    <w:abstractNumId w:val="20"/>
  </w:num>
  <w:num w:numId="14" w16cid:durableId="1543207085">
    <w:abstractNumId w:val="14"/>
  </w:num>
  <w:num w:numId="15" w16cid:durableId="927468021">
    <w:abstractNumId w:val="12"/>
  </w:num>
  <w:num w:numId="16" w16cid:durableId="335958106">
    <w:abstractNumId w:val="15"/>
  </w:num>
  <w:num w:numId="17" w16cid:durableId="1625311459">
    <w:abstractNumId w:val="19"/>
  </w:num>
  <w:num w:numId="18" w16cid:durableId="710377176">
    <w:abstractNumId w:val="17"/>
  </w:num>
  <w:num w:numId="19" w16cid:durableId="216285780">
    <w:abstractNumId w:val="13"/>
  </w:num>
  <w:num w:numId="20" w16cid:durableId="743991666">
    <w:abstractNumId w:val="10"/>
  </w:num>
  <w:num w:numId="21" w16cid:durableId="16271944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2B"/>
    <w:rsid w:val="00004783"/>
    <w:rsid w:val="0003257F"/>
    <w:rsid w:val="00032829"/>
    <w:rsid w:val="00040561"/>
    <w:rsid w:val="000603D3"/>
    <w:rsid w:val="000673A8"/>
    <w:rsid w:val="000678CF"/>
    <w:rsid w:val="00070937"/>
    <w:rsid w:val="000B7559"/>
    <w:rsid w:val="000C1B83"/>
    <w:rsid w:val="000E0D15"/>
    <w:rsid w:val="00105F31"/>
    <w:rsid w:val="00124070"/>
    <w:rsid w:val="00154F81"/>
    <w:rsid w:val="00170210"/>
    <w:rsid w:val="00186B2F"/>
    <w:rsid w:val="001E4E9F"/>
    <w:rsid w:val="001F1151"/>
    <w:rsid w:val="002042E6"/>
    <w:rsid w:val="002043BF"/>
    <w:rsid w:val="00223782"/>
    <w:rsid w:val="00230877"/>
    <w:rsid w:val="002344D3"/>
    <w:rsid w:val="00236552"/>
    <w:rsid w:val="00281BB1"/>
    <w:rsid w:val="00290B1F"/>
    <w:rsid w:val="0030096D"/>
    <w:rsid w:val="00317618"/>
    <w:rsid w:val="00326B7A"/>
    <w:rsid w:val="00344DE8"/>
    <w:rsid w:val="00394726"/>
    <w:rsid w:val="003A69EB"/>
    <w:rsid w:val="003F410E"/>
    <w:rsid w:val="003F5384"/>
    <w:rsid w:val="00406B32"/>
    <w:rsid w:val="004073BC"/>
    <w:rsid w:val="004133B7"/>
    <w:rsid w:val="00431D86"/>
    <w:rsid w:val="00444AA1"/>
    <w:rsid w:val="004A2745"/>
    <w:rsid w:val="004B6344"/>
    <w:rsid w:val="004B79BB"/>
    <w:rsid w:val="004E1575"/>
    <w:rsid w:val="004F54CF"/>
    <w:rsid w:val="00551989"/>
    <w:rsid w:val="00564F12"/>
    <w:rsid w:val="00572CAA"/>
    <w:rsid w:val="00587EA6"/>
    <w:rsid w:val="005A098C"/>
    <w:rsid w:val="005A355E"/>
    <w:rsid w:val="005A361B"/>
    <w:rsid w:val="005D1213"/>
    <w:rsid w:val="00617E44"/>
    <w:rsid w:val="006243FF"/>
    <w:rsid w:val="00640BB3"/>
    <w:rsid w:val="006474ED"/>
    <w:rsid w:val="00660C79"/>
    <w:rsid w:val="00684F5A"/>
    <w:rsid w:val="006A6137"/>
    <w:rsid w:val="006B1B86"/>
    <w:rsid w:val="006C2B22"/>
    <w:rsid w:val="006C41EA"/>
    <w:rsid w:val="006D16CE"/>
    <w:rsid w:val="00706D59"/>
    <w:rsid w:val="00715B11"/>
    <w:rsid w:val="00717241"/>
    <w:rsid w:val="00725053"/>
    <w:rsid w:val="007404EA"/>
    <w:rsid w:val="00751749"/>
    <w:rsid w:val="00773676"/>
    <w:rsid w:val="0077642E"/>
    <w:rsid w:val="00776453"/>
    <w:rsid w:val="007777DA"/>
    <w:rsid w:val="007C3F12"/>
    <w:rsid w:val="007D441B"/>
    <w:rsid w:val="00801105"/>
    <w:rsid w:val="00806FC4"/>
    <w:rsid w:val="0081768D"/>
    <w:rsid w:val="00861B46"/>
    <w:rsid w:val="00865672"/>
    <w:rsid w:val="008C1A2B"/>
    <w:rsid w:val="008C1A73"/>
    <w:rsid w:val="008D113C"/>
    <w:rsid w:val="008D376F"/>
    <w:rsid w:val="009119E7"/>
    <w:rsid w:val="00911A58"/>
    <w:rsid w:val="00911B06"/>
    <w:rsid w:val="00917BB1"/>
    <w:rsid w:val="00975D21"/>
    <w:rsid w:val="00976795"/>
    <w:rsid w:val="00980531"/>
    <w:rsid w:val="00986FC1"/>
    <w:rsid w:val="0099486A"/>
    <w:rsid w:val="009A240D"/>
    <w:rsid w:val="009B5236"/>
    <w:rsid w:val="009B60C1"/>
    <w:rsid w:val="009C5F29"/>
    <w:rsid w:val="009C70AE"/>
    <w:rsid w:val="009E1E2D"/>
    <w:rsid w:val="00A15B92"/>
    <w:rsid w:val="00A56DE0"/>
    <w:rsid w:val="00A60B0B"/>
    <w:rsid w:val="00A639EF"/>
    <w:rsid w:val="00A8465C"/>
    <w:rsid w:val="00A9349C"/>
    <w:rsid w:val="00AE068C"/>
    <w:rsid w:val="00AE43E6"/>
    <w:rsid w:val="00B120F6"/>
    <w:rsid w:val="00B46E48"/>
    <w:rsid w:val="00B54CF4"/>
    <w:rsid w:val="00B66238"/>
    <w:rsid w:val="00B74B9A"/>
    <w:rsid w:val="00B945F9"/>
    <w:rsid w:val="00BB31F2"/>
    <w:rsid w:val="00BE11A8"/>
    <w:rsid w:val="00BE2613"/>
    <w:rsid w:val="00C207CB"/>
    <w:rsid w:val="00C47E3B"/>
    <w:rsid w:val="00C569B9"/>
    <w:rsid w:val="00C722AC"/>
    <w:rsid w:val="00C76F04"/>
    <w:rsid w:val="00CD6AC0"/>
    <w:rsid w:val="00CF7EFB"/>
    <w:rsid w:val="00D30573"/>
    <w:rsid w:val="00D35448"/>
    <w:rsid w:val="00D35C4A"/>
    <w:rsid w:val="00D80394"/>
    <w:rsid w:val="00D846DB"/>
    <w:rsid w:val="00DC4EE6"/>
    <w:rsid w:val="00DF0877"/>
    <w:rsid w:val="00DF6B67"/>
    <w:rsid w:val="00E032D9"/>
    <w:rsid w:val="00E11A56"/>
    <w:rsid w:val="00E326A4"/>
    <w:rsid w:val="00E45CBE"/>
    <w:rsid w:val="00E67C75"/>
    <w:rsid w:val="00EC1F6F"/>
    <w:rsid w:val="00EC6A73"/>
    <w:rsid w:val="00F0604A"/>
    <w:rsid w:val="00F07048"/>
    <w:rsid w:val="00F178DB"/>
    <w:rsid w:val="00F72274"/>
    <w:rsid w:val="00F7634B"/>
    <w:rsid w:val="00F832BE"/>
    <w:rsid w:val="00FC2B75"/>
    <w:rsid w:val="00FC5084"/>
    <w:rsid w:val="00FE1324"/>
    <w:rsid w:val="00FE1516"/>
    <w:rsid w:val="00FF5D5A"/>
    <w:rsid w:val="04470787"/>
    <w:rsid w:val="1D66B4A6"/>
    <w:rsid w:val="208CC894"/>
    <w:rsid w:val="2724161E"/>
    <w:rsid w:val="41791094"/>
    <w:rsid w:val="64367E61"/>
    <w:rsid w:val="6F5E7F0D"/>
    <w:rsid w:val="79DF0C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FCFEF"/>
  <w15:chartTrackingRefBased/>
  <w15:docId w15:val="{E920E9BD-C1E0-4CB2-A56C-A1DF3982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8C1A2B"/>
    <w:pPr>
      <w:overflowPunct w:val="0"/>
      <w:autoSpaceDE w:val="0"/>
      <w:autoSpaceDN w:val="0"/>
      <w:adjustRightInd w:val="0"/>
      <w:spacing w:after="200"/>
      <w:ind w:left="720"/>
      <w:contextualSpacing/>
      <w:textAlignment w:val="baseline"/>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8C1A2B"/>
    <w:rPr>
      <w:sz w:val="16"/>
      <w:szCs w:val="16"/>
    </w:rPr>
  </w:style>
  <w:style w:type="paragraph" w:styleId="CommentText">
    <w:name w:val="annotation text"/>
    <w:basedOn w:val="Normal"/>
    <w:link w:val="CommentTextChar"/>
    <w:uiPriority w:val="99"/>
    <w:unhideWhenUsed/>
    <w:rsid w:val="008C1A2B"/>
    <w:pPr>
      <w:overflowPunct w:val="0"/>
      <w:autoSpaceDE w:val="0"/>
      <w:autoSpaceDN w:val="0"/>
      <w:adjustRightInd w:val="0"/>
      <w:spacing w:after="200"/>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C1A2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178DB"/>
    <w:pPr>
      <w:overflowPunct/>
      <w:autoSpaceDE/>
      <w:autoSpaceDN/>
      <w:adjustRightInd/>
      <w:spacing w:after="0" w:line="240" w:lineRule="auto"/>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178DB"/>
    <w:rPr>
      <w:rFonts w:ascii="Arial" w:eastAsiaTheme="minorEastAsia"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C83784422864DA3A8DFDABA8D1988" ma:contentTypeVersion="15" ma:contentTypeDescription="Create a new document." ma:contentTypeScope="" ma:versionID="64edc65fd11fea28c29017ad72a02777">
  <xsd:schema xmlns:xsd="http://www.w3.org/2001/XMLSchema" xmlns:xs="http://www.w3.org/2001/XMLSchema" xmlns:p="http://schemas.microsoft.com/office/2006/metadata/properties" xmlns:ns2="e02bd00c-3059-42c9-b813-f4fee2671bfc" xmlns:ns3="d1db0558-f140-4f90-8466-c94a41a190da" xmlns:ns4="6817a18b-ca13-4b62-8bc4-ed31bbcf9b80" targetNamespace="http://schemas.microsoft.com/office/2006/metadata/properties" ma:root="true" ma:fieldsID="8d10639fa3ed24ce61ba3e4340312779" ns2:_="" ns3:_="" ns4:_="">
    <xsd:import namespace="e02bd00c-3059-42c9-b813-f4fee2671bfc"/>
    <xsd:import namespace="d1db0558-f140-4f90-8466-c94a41a190da"/>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bd00c-3059-42c9-b813-f4fee2671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b0558-f140-4f90-8466-c94a41a190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df40e38-0a02-4697-954f-30ac4e724fbf}" ma:internalName="TaxCatchAll" ma:showField="CatchAllData" ma:web="d1db0558-f140-4f90-8466-c94a41a19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2bd00c-3059-42c9-b813-f4fee2671bfc">
      <Terms xmlns="http://schemas.microsoft.com/office/infopath/2007/PartnerControls"/>
    </lcf76f155ced4ddcb4097134ff3c332f>
    <TaxCatchAll xmlns="6817a18b-ca13-4b62-8bc4-ed31bbcf9b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1AABE-6E4C-4E05-BE0E-960E18075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bd00c-3059-42c9-b813-f4fee2671bfc"/>
    <ds:schemaRef ds:uri="d1db0558-f140-4f90-8466-c94a41a190da"/>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07AEB60E-9E87-4E21-8612-30C2A1D2F723}">
  <ds:schemaRefs>
    <ds:schemaRef ds:uri="http://schemas.microsoft.com/office/2006/metadata/properties"/>
    <ds:schemaRef ds:uri="http://schemas.microsoft.com/office/infopath/2007/PartnerControls"/>
    <ds:schemaRef ds:uri="e02bd00c-3059-42c9-b813-f4fee2671bfc"/>
    <ds:schemaRef ds:uri="6817a18b-ca13-4b62-8bc4-ed31bbcf9b80"/>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4</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Links>
    <vt:vector size="6" baseType="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Alex</dc:creator>
  <cp:keywords/>
  <dc:description/>
  <cp:lastModifiedBy>Wallace, Fionna</cp:lastModifiedBy>
  <cp:revision>2</cp:revision>
  <cp:lastPrinted>2023-03-24T11:44:00Z</cp:lastPrinted>
  <dcterms:created xsi:type="dcterms:W3CDTF">2024-12-11T15:17:00Z</dcterms:created>
  <dcterms:modified xsi:type="dcterms:W3CDTF">2024-12-11T15:17:00Z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0x010100521C83784422864DA3A8DFDABA8D1988</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